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99"/>
        <w:gridCol w:w="1950"/>
        <w:gridCol w:w="941"/>
        <w:gridCol w:w="931"/>
        <w:gridCol w:w="955"/>
        <w:gridCol w:w="957"/>
        <w:gridCol w:w="1510"/>
        <w:gridCol w:w="1510"/>
        <w:gridCol w:w="1656"/>
        <w:gridCol w:w="1295"/>
      </w:tblGrid>
      <w:tr w:rsidR="000C30F7" w:rsidRPr="000C30F7" w14:paraId="19E4A126" w14:textId="77777777" w:rsidTr="000C30F7">
        <w:trPr>
          <w:trHeight w:val="1785"/>
        </w:trPr>
        <w:tc>
          <w:tcPr>
            <w:tcW w:w="938" w:type="dxa"/>
            <w:shd w:val="clear" w:color="auto" w:fill="auto"/>
            <w:vAlign w:val="center"/>
            <w:hideMark/>
          </w:tcPr>
          <w:p w14:paraId="0F1CAA1D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Item No/ №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позиції</w:t>
            </w:r>
            <w:proofErr w:type="spellEnd"/>
          </w:p>
        </w:tc>
        <w:tc>
          <w:tcPr>
            <w:tcW w:w="3986" w:type="dxa"/>
            <w:gridSpan w:val="2"/>
            <w:shd w:val="clear" w:color="auto" w:fill="auto"/>
            <w:vAlign w:val="center"/>
            <w:hideMark/>
          </w:tcPr>
          <w:p w14:paraId="59B6DEAE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Description/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Опис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позиції</w:t>
            </w:r>
            <w:proofErr w:type="spellEnd"/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14:paraId="5789ADFC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Unit of Measure/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Одиниці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виміру</w:t>
            </w:r>
            <w:proofErr w:type="spellEnd"/>
          </w:p>
        </w:tc>
        <w:tc>
          <w:tcPr>
            <w:tcW w:w="1907" w:type="dxa"/>
            <w:gridSpan w:val="2"/>
            <w:shd w:val="clear" w:color="auto" w:fill="auto"/>
            <w:vAlign w:val="center"/>
            <w:hideMark/>
          </w:tcPr>
          <w:p w14:paraId="57E48CF0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en-US" w:eastAsia="uk-UA"/>
              </w:rPr>
              <w:t xml:space="preserve">Dosage/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en-US" w:eastAsia="uk-UA"/>
              </w:rPr>
              <w:t>Дозування</w:t>
            </w:r>
            <w:proofErr w:type="spellEnd"/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75FFBEB5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Supplier Name/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Назва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постачальника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F4418B1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Supplier country/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Країна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постачальника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27430B8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Quantity/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5E7DC468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Contract Unit Price, USD/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Ціна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згідно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з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контрактом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, </w:t>
            </w:r>
            <w:proofErr w:type="spellStart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долари</w:t>
            </w:r>
            <w:proofErr w:type="spellEnd"/>
            <w:r w:rsidRPr="000C30F7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США</w:t>
            </w:r>
          </w:p>
        </w:tc>
      </w:tr>
      <w:tr w:rsidR="000C30F7" w:rsidRPr="000C30F7" w14:paraId="6257FF45" w14:textId="77777777" w:rsidTr="000C30F7">
        <w:trPr>
          <w:trHeight w:val="1020"/>
        </w:trPr>
        <w:tc>
          <w:tcPr>
            <w:tcW w:w="938" w:type="dxa"/>
            <w:shd w:val="clear" w:color="auto" w:fill="auto"/>
            <w:vAlign w:val="center"/>
            <w:hideMark/>
          </w:tcPr>
          <w:p w14:paraId="730700B3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6.2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B2C152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Polio Vaccine (inactivated)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AAF4F03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Вакцина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для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профілактики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поліомієліту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(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інактивована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12771968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vial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7E167329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флакон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E4CD791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1/10 dose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4F6B044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1/10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доза</w:t>
            </w:r>
            <w:proofErr w:type="spellEnd"/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26D4EB55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Sanofi-Aventis Ukraine LLC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154F26C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Ukraine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2E4EB35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222 400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3201F27" w14:textId="5BADDA8D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3.66</w:t>
            </w:r>
          </w:p>
        </w:tc>
      </w:tr>
      <w:tr w:rsidR="000C30F7" w:rsidRPr="000C30F7" w14:paraId="67494864" w14:textId="77777777" w:rsidTr="000C30F7">
        <w:trPr>
          <w:trHeight w:val="2550"/>
        </w:trPr>
        <w:tc>
          <w:tcPr>
            <w:tcW w:w="938" w:type="dxa"/>
            <w:shd w:val="clear" w:color="auto" w:fill="auto"/>
            <w:vAlign w:val="center"/>
            <w:hideMark/>
          </w:tcPr>
          <w:p w14:paraId="64E8EDAE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6.8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6F31077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Diphtheria, Tetanus, Whole-Cell Pertussis, Hepatitis B and Haemophilus Influenzae Type B Combined Vaccine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5CB806B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Комбінована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вакцина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для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профілактики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кашлюка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з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цільноклітинним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кашлюковим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компонентом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,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дифтерії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,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правця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,</w:t>
            </w: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br/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гепатиту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B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та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гемофільної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інфекції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типу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b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2B0A64E2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vial 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8CD0E0A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флакон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DA06A99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1/2/5/10 dose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E266F0A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1/2/5/10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доза</w:t>
            </w:r>
            <w:proofErr w:type="spellEnd"/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737E850F" w14:textId="29544A83" w:rsidR="000C30F7" w:rsidRPr="003525FB" w:rsidRDefault="003525FB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M.Biotech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 xml:space="preserve">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7C373A7" w14:textId="78471FFC" w:rsidR="000C30F7" w:rsidRPr="003525FB" w:rsidRDefault="003525FB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United Kingdom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038BA65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207 500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1B535750" w14:textId="672042C1" w:rsidR="000C30F7" w:rsidRPr="000C30F7" w:rsidRDefault="003525FB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2.00</w:t>
            </w:r>
          </w:p>
        </w:tc>
      </w:tr>
      <w:tr w:rsidR="000C30F7" w:rsidRPr="000C30F7" w14:paraId="64DBBF36" w14:textId="77777777" w:rsidTr="000C30F7">
        <w:trPr>
          <w:trHeight w:val="765"/>
        </w:trPr>
        <w:tc>
          <w:tcPr>
            <w:tcW w:w="938" w:type="dxa"/>
            <w:shd w:val="clear" w:color="auto" w:fill="auto"/>
            <w:vAlign w:val="center"/>
            <w:hideMark/>
          </w:tcPr>
          <w:p w14:paraId="016B12A0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6.9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3B645FE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Rabies Vaccine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2A7C7CB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Вакцина для профілактики сказу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79A85D4A" w14:textId="1777D35A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vial; ampoule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B0FD6B3" w14:textId="1191E7F3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флакон; ампула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9AC5EE1" w14:textId="6AF3D8F8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1 dose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4C0AD04" w14:textId="27D7818E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1 </w:t>
            </w: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доза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0EBA2CAD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M.Biotech</w:t>
            </w:r>
            <w:proofErr w:type="spellEnd"/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Limited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750A17F" w14:textId="66B44691" w:rsidR="000C30F7" w:rsidRPr="000C30F7" w:rsidRDefault="003525FB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United Kingdom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B5044E7" w14:textId="7777777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54 950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1701B80" w14:textId="37A63767" w:rsidR="000C30F7" w:rsidRPr="000C30F7" w:rsidRDefault="000C30F7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0C30F7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5.50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A322" w14:textId="77777777" w:rsidR="004928D6" w:rsidRDefault="004928D6" w:rsidP="00FF1BAC">
      <w:pPr>
        <w:spacing w:before="0" w:after="0"/>
      </w:pPr>
      <w:r>
        <w:separator/>
      </w:r>
    </w:p>
  </w:endnote>
  <w:endnote w:type="continuationSeparator" w:id="0">
    <w:p w14:paraId="29D451C8" w14:textId="77777777" w:rsidR="004928D6" w:rsidRDefault="004928D6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B64A" w14:textId="77777777" w:rsidR="004928D6" w:rsidRDefault="004928D6" w:rsidP="00FF1BAC">
      <w:pPr>
        <w:spacing w:before="0" w:after="0"/>
      </w:pPr>
      <w:r>
        <w:separator/>
      </w:r>
    </w:p>
  </w:footnote>
  <w:footnote w:type="continuationSeparator" w:id="0">
    <w:p w14:paraId="156528B3" w14:textId="77777777" w:rsidR="004928D6" w:rsidRDefault="004928D6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0480CD4C" w:rsidR="00A342C0" w:rsidRPr="000C30F7" w:rsidRDefault="00A342C0" w:rsidP="0039094D">
    <w:pPr>
      <w:spacing w:before="0" w:after="0"/>
      <w:jc w:val="center"/>
      <w:rPr>
        <w:sz w:val="20"/>
      </w:rPr>
    </w:pPr>
    <w:r w:rsidRPr="00265789">
      <w:rPr>
        <w:b/>
        <w:bCs/>
        <w:sz w:val="20"/>
      </w:rPr>
      <w:t xml:space="preserve">PROGRAMME </w:t>
    </w:r>
    <w:r w:rsidR="000C30F7">
      <w:rPr>
        <w:b/>
        <w:bCs/>
        <w:sz w:val="20"/>
      </w:rPr>
      <w:t xml:space="preserve">6 </w:t>
    </w:r>
    <w:r w:rsidR="000C30F7">
      <w:rPr>
        <w:sz w:val="20"/>
      </w:rPr>
      <w:t>VI</w:t>
    </w:r>
    <w:r w:rsidRPr="00A342C0">
      <w:rPr>
        <w:sz w:val="20"/>
      </w:rPr>
      <w:t>. </w:t>
    </w:r>
    <w:r w:rsidR="000C30F7" w:rsidRPr="000C30F7">
      <w:rPr>
        <w:sz w:val="20"/>
      </w:rPr>
      <w:t>“Immunobiological drugs for public immunization, medical devices and products for temperature control of immunological drugs and medical products”</w:t>
    </w:r>
    <w:r w:rsidRPr="000C30F7">
      <w:rPr>
        <w:sz w:val="20"/>
      </w:rPr>
      <w:t xml:space="preserve">/ </w:t>
    </w:r>
  </w:p>
  <w:p w14:paraId="45C6ED22" w14:textId="5D4C57D3" w:rsidR="00A342C0" w:rsidRPr="00B821D9" w:rsidRDefault="00A342C0" w:rsidP="0039094D">
    <w:pPr>
      <w:spacing w:before="0" w:after="0"/>
      <w:jc w:val="center"/>
      <w:rPr>
        <w:sz w:val="20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="000C30F7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6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r w:rsidR="000C30F7" w:rsidRPr="000C30F7">
      <w:rPr>
        <w:sz w:val="20"/>
      </w:rPr>
      <w:t>«</w:t>
    </w:r>
    <w:r w:rsidR="000C30F7">
      <w:rPr>
        <w:sz w:val="20"/>
        <w:lang w:val="uk-UA"/>
      </w:rPr>
      <w:t>І</w:t>
    </w:r>
    <w:proofErr w:type="spellStart"/>
    <w:r w:rsidR="000C30F7" w:rsidRPr="000C30F7">
      <w:rPr>
        <w:sz w:val="20"/>
      </w:rPr>
      <w:t>мунобіологічн</w:t>
    </w:r>
    <w:proofErr w:type="spellEnd"/>
    <w:r w:rsidR="000C30F7">
      <w:rPr>
        <w:sz w:val="20"/>
        <w:lang w:val="uk-UA"/>
      </w:rPr>
      <w:t>і</w:t>
    </w:r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препарат</w:t>
    </w:r>
    <w:proofErr w:type="spellEnd"/>
    <w:r w:rsidR="000C30F7">
      <w:rPr>
        <w:sz w:val="20"/>
        <w:lang w:val="uk-UA"/>
      </w:rPr>
      <w:t>и</w:t>
    </w:r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для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проведення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імунопрофілактики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населення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та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виробів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для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забезпечення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умов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температурного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контролю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імунобіологічних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препаратів</w:t>
    </w:r>
    <w:proofErr w:type="spellEnd"/>
    <w:r w:rsidR="000C30F7" w:rsidRPr="000C30F7">
      <w:rPr>
        <w:sz w:val="20"/>
      </w:rPr>
      <w:t xml:space="preserve">, </w:t>
    </w:r>
    <w:proofErr w:type="spellStart"/>
    <w:r w:rsidR="000C30F7" w:rsidRPr="000C30F7">
      <w:rPr>
        <w:sz w:val="20"/>
      </w:rPr>
      <w:t>та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медичних</w:t>
    </w:r>
    <w:proofErr w:type="spellEnd"/>
    <w:r w:rsidR="000C30F7" w:rsidRPr="000C30F7">
      <w:rPr>
        <w:sz w:val="20"/>
      </w:rPr>
      <w:t xml:space="preserve"> </w:t>
    </w:r>
    <w:proofErr w:type="spellStart"/>
    <w:r w:rsidR="000C30F7" w:rsidRPr="000C30F7">
      <w:rPr>
        <w:sz w:val="20"/>
      </w:rPr>
      <w:t>виробів</w:t>
    </w:r>
    <w:proofErr w:type="spellEnd"/>
    <w:r w:rsidR="000C30F7" w:rsidRPr="000C30F7">
      <w:rPr>
        <w:sz w:val="20"/>
      </w:rPr>
      <w:t>»</w:t>
    </w:r>
  </w:p>
  <w:p w14:paraId="5F82F01A" w14:textId="77777777" w:rsidR="00A342C0" w:rsidRPr="00265789" w:rsidRDefault="00A342C0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A342C0" w:rsidRPr="00265789" w:rsidRDefault="00A342C0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95C54"/>
    <w:rsid w:val="000A18D2"/>
    <w:rsid w:val="000C30F7"/>
    <w:rsid w:val="000C698D"/>
    <w:rsid w:val="000F66EC"/>
    <w:rsid w:val="000F7E39"/>
    <w:rsid w:val="00102EBD"/>
    <w:rsid w:val="00170CF0"/>
    <w:rsid w:val="00172776"/>
    <w:rsid w:val="001F21F6"/>
    <w:rsid w:val="00200B4B"/>
    <w:rsid w:val="00221310"/>
    <w:rsid w:val="0025351D"/>
    <w:rsid w:val="00260563"/>
    <w:rsid w:val="002607E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7266"/>
    <w:rsid w:val="003525FB"/>
    <w:rsid w:val="00386902"/>
    <w:rsid w:val="0039094D"/>
    <w:rsid w:val="003F1BE0"/>
    <w:rsid w:val="003F3762"/>
    <w:rsid w:val="00401D3B"/>
    <w:rsid w:val="00410A10"/>
    <w:rsid w:val="004928D6"/>
    <w:rsid w:val="004972EA"/>
    <w:rsid w:val="004B399A"/>
    <w:rsid w:val="004B4FAA"/>
    <w:rsid w:val="004E2483"/>
    <w:rsid w:val="004F23CC"/>
    <w:rsid w:val="00516110"/>
    <w:rsid w:val="00524D56"/>
    <w:rsid w:val="005830AA"/>
    <w:rsid w:val="0059691B"/>
    <w:rsid w:val="005B69B9"/>
    <w:rsid w:val="005E3AB4"/>
    <w:rsid w:val="006023EB"/>
    <w:rsid w:val="0061678C"/>
    <w:rsid w:val="00664F2A"/>
    <w:rsid w:val="006B70A7"/>
    <w:rsid w:val="006D171E"/>
    <w:rsid w:val="006E6484"/>
    <w:rsid w:val="00702EC6"/>
    <w:rsid w:val="00710D32"/>
    <w:rsid w:val="007147D3"/>
    <w:rsid w:val="00723E44"/>
    <w:rsid w:val="007A6157"/>
    <w:rsid w:val="007C1CAE"/>
    <w:rsid w:val="007D6AE1"/>
    <w:rsid w:val="007F42E6"/>
    <w:rsid w:val="00832D26"/>
    <w:rsid w:val="008479C8"/>
    <w:rsid w:val="00851AA0"/>
    <w:rsid w:val="00853291"/>
    <w:rsid w:val="00865FB3"/>
    <w:rsid w:val="008B73D4"/>
    <w:rsid w:val="008C6783"/>
    <w:rsid w:val="008D4CDA"/>
    <w:rsid w:val="008D73FC"/>
    <w:rsid w:val="008E434C"/>
    <w:rsid w:val="00904665"/>
    <w:rsid w:val="00907F05"/>
    <w:rsid w:val="009153D2"/>
    <w:rsid w:val="00917FCA"/>
    <w:rsid w:val="00962AAE"/>
    <w:rsid w:val="009936CF"/>
    <w:rsid w:val="00994ACA"/>
    <w:rsid w:val="009952A4"/>
    <w:rsid w:val="009D5BB8"/>
    <w:rsid w:val="00A2644C"/>
    <w:rsid w:val="00A3060A"/>
    <w:rsid w:val="00A342C0"/>
    <w:rsid w:val="00A6181D"/>
    <w:rsid w:val="00A74597"/>
    <w:rsid w:val="00A80715"/>
    <w:rsid w:val="00AC6EC2"/>
    <w:rsid w:val="00AF385C"/>
    <w:rsid w:val="00B566C6"/>
    <w:rsid w:val="00B61532"/>
    <w:rsid w:val="00B821D9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D1A6F"/>
    <w:rsid w:val="00ED1FCC"/>
    <w:rsid w:val="00EF28B7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a0"/>
    <w:rsid w:val="007C1CAE"/>
  </w:style>
  <w:style w:type="character" w:customStyle="1" w:styleId="eop">
    <w:name w:val="eop"/>
    <w:basedOn w:val="a0"/>
    <w:rsid w:val="007C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0120E88D0C5479749F8FFEE6AD4CD" ma:contentTypeVersion="" ma:contentTypeDescription="Create a new document." ma:contentTypeScope="" ma:versionID="55bfc9cf57baaf2a060286494cdf60a3">
  <xsd:schema xmlns:xsd="http://www.w3.org/2001/XMLSchema" xmlns:xs="http://www.w3.org/2001/XMLSchema" xmlns:p="http://schemas.microsoft.com/office/2006/metadata/properties" xmlns:ns2="632134a0-b0ed-4cbc-94c8-b947cf0c67be" targetNamespace="http://schemas.microsoft.com/office/2006/metadata/properties" ma:root="true" ma:fieldsID="f350f4326874d370c6e691ce7efc5ed8" ns2:_="">
    <xsd:import namespace="632134a0-b0ed-4cbc-94c8-b947cf0c6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134a0-b0ed-4cbc-94c8-b947cf0c6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59FC6-06E9-4B02-9DEF-2D7F5DDD9C5D}"/>
</file>

<file path=customXml/itemProps3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Kolomiets, Oleksandr</cp:lastModifiedBy>
  <cp:revision>9</cp:revision>
  <dcterms:created xsi:type="dcterms:W3CDTF">2020-05-27T09:41:00Z</dcterms:created>
  <dcterms:modified xsi:type="dcterms:W3CDTF">2021-12-29T09:55:00Z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0x010100E5A0120E88D0C5479749F8FFEE6AD4CD</vt:lpwstr>
  </property>
</Properties>
</file>